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08" w:rsidRDefault="00850908" w:rsidP="00850908">
      <w:pPr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  <w:t xml:space="preserve">                   </w:t>
      </w:r>
      <w:r w:rsidR="006F5C75"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  <w:t xml:space="preserve">                    ПРОТОКОЛ № 5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заседания общественного совета Главного государственного управления социальной защиты населения Псковской области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850908" w:rsidRDefault="001A67AE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г. Псков, ул. 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Набат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, д. 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6-а.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                                </w:t>
      </w:r>
      <w:r w:rsidR="00A90DE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12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A90DE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июля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2016 г.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ab/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850908" w:rsidRDefault="001A67AE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 xml:space="preserve"> </w:t>
      </w:r>
      <w:r w:rsidR="004C6210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 xml:space="preserve"> </w:t>
      </w:r>
      <w:r w:rsidR="00850908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 xml:space="preserve">Присутствовали члены общественного совета: 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Груздов Н.А., Костец С.И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>., Никитенко Н.В.,  Поккас Е.В.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>, Транева Е.Н.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850908" w:rsidRDefault="004C6210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>От</w:t>
      </w:r>
      <w:r w:rsidR="00850908">
        <w:rPr>
          <w:rFonts w:ascii="Times New Roman" w:eastAsia="DejaVu Sans" w:hAnsi="Times New Roman" w:cs="DejaVu Sans"/>
          <w:sz w:val="24"/>
          <w:szCs w:val="24"/>
          <w:lang w:eastAsia="ru-RU"/>
        </w:rPr>
        <w:t xml:space="preserve">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>Главного государственного управления социальной защиты населения Псковской области</w:t>
      </w:r>
    </w:p>
    <w:p w:rsidR="00850908" w:rsidRDefault="00A90DE0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Федорова Е.А.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Повестка дня:</w:t>
      </w:r>
    </w:p>
    <w:p w:rsidR="00850908" w:rsidRDefault="00850908" w:rsidP="00850908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850908" w:rsidRDefault="00850908" w:rsidP="00850908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О </w:t>
      </w:r>
      <w:r w:rsidR="00A90DE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роли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A90DE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Областного центра семьи в реализации го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>сударственной семейной политики.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Докладчик:  </w:t>
      </w:r>
      <w:r w:rsidR="00A90DE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Е.Н.Воронцова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- директор ГБУ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C5960">
        <w:rPr>
          <w:rFonts w:ascii="Times New Roman" w:eastAsia="DejaVu Sans" w:hAnsi="Times New Roman" w:cs="DejaVu Sans"/>
          <w:sz w:val="28"/>
          <w:szCs w:val="28"/>
          <w:lang w:eastAsia="ru-RU"/>
        </w:rPr>
        <w:t>СО Областной центр  семьи».</w:t>
      </w:r>
    </w:p>
    <w:p w:rsidR="00850908" w:rsidRPr="00174918" w:rsidRDefault="001C5960" w:rsidP="001C5960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174918">
        <w:rPr>
          <w:rFonts w:ascii="Times New Roman" w:eastAsia="DejaVu Sans" w:hAnsi="Times New Roman" w:cs="DejaVu Sans"/>
          <w:sz w:val="28"/>
          <w:szCs w:val="28"/>
          <w:lang w:eastAsia="ru-RU"/>
        </w:rPr>
        <w:t>О запросе начальнику управления социальной защиты населения А.Л.Мнацаканяну по вопросу обеспечения</w:t>
      </w:r>
      <w:r w:rsidR="00174918" w:rsidRP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в 2015 г.</w:t>
      </w:r>
      <w:r w:rsidRP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жильем </w:t>
      </w:r>
      <w:r w:rsidR="00174918" w:rsidRPr="00174918">
        <w:rPr>
          <w:rFonts w:ascii="Times New Roman" w:eastAsia="DejaVu Sans" w:hAnsi="Times New Roman" w:cs="DejaVu Sans"/>
          <w:sz w:val="28"/>
          <w:szCs w:val="28"/>
          <w:lang w:eastAsia="ru-RU"/>
        </w:rPr>
        <w:t>156 детей-сирот и детей, оставшихся  без попечения родителей.</w:t>
      </w: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        </w:t>
      </w: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</w:t>
      </w:r>
      <w:r w:rsidR="004C6210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Слушали:</w:t>
      </w:r>
    </w:p>
    <w:p w:rsidR="00850908" w:rsidRDefault="00850908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по первому вопросу  </w:t>
      </w:r>
      <w:r w:rsidR="0017491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Е.Н.Воронцову 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- </w:t>
      </w:r>
      <w:r w:rsidR="0017491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директора государственного бюджетного учреждения социального обслуживания (ГБУ СО) «Областной центр семьи»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Главного государственного управления социальной защ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>иты населения Псковской области. (</w:t>
      </w:r>
      <w:r w:rsidR="00642F99">
        <w:rPr>
          <w:rFonts w:ascii="Times New Roman" w:eastAsia="DejaVu Sans" w:hAnsi="Times New Roman" w:cs="DejaVu Sans"/>
          <w:sz w:val="28"/>
          <w:szCs w:val="28"/>
          <w:lang w:eastAsia="ru-RU"/>
        </w:rPr>
        <w:t>Письменный о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>тчет о работе прилагается).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Поступили вопросы докладчику:</w:t>
      </w:r>
    </w:p>
    <w:p w:rsidR="00850908" w:rsidRDefault="00642F99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Костец С.И.: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Каков главный результат вашей  работы?</w:t>
      </w:r>
    </w:p>
    <w:p w:rsidR="00850908" w:rsidRDefault="00642F99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Ответ: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Мы работаем с семьями, находящимися в трудной жизненной ситуации.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>Сотрудничаем с другими ведомствами, здравоохранением, например.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>О конкретных результатах я подробно доложила в отчете. Наработан положительный опыт, внедряем его. Но есть, конечно, проблемы.</w:t>
      </w:r>
    </w:p>
    <w:p w:rsidR="00850908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Костец С.И.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>:</w:t>
      </w:r>
      <w:r w:rsidR="0085090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Не все программы выполняются.</w:t>
      </w:r>
    </w:p>
    <w:p w:rsidR="00174918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174918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Ответ: В том есть объективные причины. Пример - по детской смертности.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Костец С.И.: Ведется ли работа против интернет- зависимости детей?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Ответ: Да, мы этим занимаемся. Есть уже конкретное сотрудничество, например, с ветеранами.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Костец С.И. Есть ли у вас филиалы?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Ответ: Да, есть информационно-ресурсные центры в  некоторых районах.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lastRenderedPageBreak/>
        <w:t xml:space="preserve">  Никитенко Н.В. В чем причина роста детской инвалидности?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Ответ: По причинам экологическим и медицинским (сохранение и выхаживание слабых  новорожденных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>, например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).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Никитенко Н.В. Как вы повышаете квалификацию  работников?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Ответ:  Используем различные формы повышения квалификации. Стараемся, чтобы знания  наших работников не отставали от требований времени. И это во многом удается.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Никитенко Н.В. Как обстоят дела с текучестью кадров?</w:t>
      </w:r>
    </w:p>
    <w:p w:rsidR="00642F99" w:rsidRDefault="00642F99" w:rsidP="0017491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Ответ: К сожалению, она есть. В основном по причине низкой заработной платы.</w:t>
      </w:r>
    </w:p>
    <w:p w:rsidR="001704A5" w:rsidRDefault="001704A5" w:rsidP="001704A5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Заслушав и обсудив информацию 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Е.Н.Воронцовой -  директора государственного бюджетного учреждения социального обслуживания (ГБУ СО) «Областной центр семьи»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Главного государственного управления социальной защиты населения Псковской области,</w:t>
      </w:r>
    </w:p>
    <w:p w:rsidR="001704A5" w:rsidRDefault="001704A5" w:rsidP="001704A5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решили:</w:t>
      </w:r>
    </w:p>
    <w:p w:rsidR="00850908" w:rsidRDefault="001704A5" w:rsidP="001704A5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Рекомендовать ГБУ СО  «Областной центр семьи»:</w:t>
      </w:r>
    </w:p>
    <w:p w:rsidR="001704A5" w:rsidRDefault="001704A5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а)  более активно информировать население области о своей деятельности и возможностях оказания помощи семьям, находящимся в трудной жизненной ситуации.</w:t>
      </w:r>
      <w:r w:rsidR="007A605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Заниматься  рекламной работой.</w:t>
      </w:r>
    </w:p>
    <w:p w:rsidR="001704A5" w:rsidRDefault="001704A5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б)  совершенствуя комплексный подход, </w:t>
      </w:r>
      <w:r w:rsidR="007A605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расширять межведомственное  сотрудничество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(в частности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с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здравоохранением), с  ветеранскими организациями по вопросам работы с пожилыми людьми.</w:t>
      </w:r>
    </w:p>
    <w:p w:rsidR="001704A5" w:rsidRDefault="001704A5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в) </w:t>
      </w:r>
      <w:r w:rsidR="007A605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усиливать профилактическую работу с семьями,  стремясь к раннему выявлению неблагополучных семей и своевременному оказанию им  возможной помощи.</w:t>
      </w:r>
    </w:p>
    <w:p w:rsidR="007A6050" w:rsidRDefault="007A6050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г)</w:t>
      </w:r>
      <w:r w:rsidR="00362E79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расширять издательскую деятельность и распространение передового опыта среди учреждений социальной защиты.</w:t>
      </w:r>
    </w:p>
    <w:p w:rsidR="007A6050" w:rsidRDefault="007A6050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2. Рекомендовать Главному управлению социальной защиты населения области:</w:t>
      </w:r>
    </w:p>
    <w:p w:rsidR="007A6050" w:rsidRPr="001704A5" w:rsidRDefault="007A6050" w:rsidP="001704A5">
      <w:pPr>
        <w:widowControl w:val="0"/>
        <w:suppressAutoHyphens/>
        <w:spacing w:after="0" w:line="240" w:lineRule="auto"/>
        <w:ind w:left="75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а) рассмотреть вопрос о повышении заработной планы  сотрудникам 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ГБУ СО «Областной центр семьи».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566B31" w:rsidRDefault="004C6210" w:rsidP="00566B31">
      <w:p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66B31">
        <w:rPr>
          <w:rFonts w:ascii="Times New Roman" w:hAnsi="Times New Roman" w:cs="Times New Roman"/>
          <w:sz w:val="28"/>
          <w:szCs w:val="28"/>
        </w:rPr>
        <w:t>Принято единогласно.</w:t>
      </w:r>
    </w:p>
    <w:p w:rsidR="00566B31" w:rsidRDefault="00566B31" w:rsidP="00566B31">
      <w:pPr>
        <w:spacing w:after="160" w:line="256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6B31">
        <w:rPr>
          <w:rFonts w:ascii="Times New Roman" w:hAnsi="Times New Roman" w:cs="Times New Roman"/>
          <w:sz w:val="28"/>
          <w:szCs w:val="28"/>
        </w:rPr>
        <w:t xml:space="preserve"> По второму вопросу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6B31">
        <w:rPr>
          <w:rFonts w:ascii="Times New Roman" w:eastAsia="DejaVu Sans" w:hAnsi="Times New Roman" w:cs="DejaVu Sans"/>
          <w:sz w:val="28"/>
          <w:szCs w:val="28"/>
          <w:lang w:eastAsia="ru-RU"/>
        </w:rPr>
        <w:t>О запросе начальнику управления социальной защиты населения А.Л.Мнацаканяну по вопросу обеспечения в 2015 г. жильем 156 детей-сирот и детей, оставшихся  без попечения родителей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» слушали члена общественного совета  Кост</w:t>
      </w:r>
      <w:r w:rsidR="006F5C75">
        <w:rPr>
          <w:rFonts w:ascii="Times New Roman" w:eastAsia="DejaVu Sans" w:hAnsi="Times New Roman" w:cs="DejaVu Sans"/>
          <w:sz w:val="28"/>
          <w:szCs w:val="28"/>
          <w:lang w:eastAsia="ru-RU"/>
        </w:rPr>
        <w:t>е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ца С.И. Он доложил о подготовленном им  проекте запроса по данному вопросу (прилагается).</w:t>
      </w:r>
    </w:p>
    <w:p w:rsidR="00566B31" w:rsidRDefault="00566B31" w:rsidP="00566B31">
      <w:pPr>
        <w:spacing w:after="160" w:line="256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В ходе обсуждения поступило два предложения:</w:t>
      </w:r>
    </w:p>
    <w:p w:rsidR="00566B31" w:rsidRPr="00566B31" w:rsidRDefault="00566B31" w:rsidP="00566B31">
      <w:pPr>
        <w:pStyle w:val="a3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Отправить запрос </w:t>
      </w:r>
      <w:r w:rsidRPr="00566B31">
        <w:rPr>
          <w:rFonts w:ascii="Times New Roman" w:eastAsia="DejaVu Sans" w:hAnsi="Times New Roman" w:cs="DejaVu Sans"/>
          <w:sz w:val="28"/>
          <w:szCs w:val="28"/>
          <w:lang w:eastAsia="ru-RU"/>
        </w:rPr>
        <w:t>начальнику управления социальной защиты населения А.Л.Мнацаканяну по вопросу обеспечения в 2015 г. жильем 156 детей-сирот и детей, оставшихся  без попечения родителей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, с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lastRenderedPageBreak/>
        <w:t>указанием адресов и средств, израсходованных на приобретение каждой квартиры.</w:t>
      </w:r>
    </w:p>
    <w:p w:rsidR="00566B31" w:rsidRPr="004C6210" w:rsidRDefault="00566B31" w:rsidP="00566B31">
      <w:pPr>
        <w:pStyle w:val="a3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Заслушать на очередном заседании общественного совета отчет</w:t>
      </w:r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управления соцзащиты</w:t>
      </w:r>
      <w:bookmarkStart w:id="0" w:name="_GoBack"/>
      <w:bookmarkEnd w:id="0"/>
      <w:r w:rsidR="004C6210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 результатах проверки  управления по данному вопросу контрольными органами, в том числе прокуратурой.  </w:t>
      </w:r>
    </w:p>
    <w:p w:rsidR="004C6210" w:rsidRPr="004C6210" w:rsidRDefault="004C6210" w:rsidP="004C6210">
      <w:pPr>
        <w:pStyle w:val="a3"/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210" w:rsidRDefault="004C6210" w:rsidP="004C6210">
      <w:pPr>
        <w:pStyle w:val="a3"/>
        <w:spacing w:after="160" w:line="256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Голосовали: по первому  предложению - «за» -2, «против» - 3.</w:t>
      </w:r>
    </w:p>
    <w:p w:rsidR="004C6210" w:rsidRDefault="004C6210" w:rsidP="004C6210">
      <w:pPr>
        <w:pStyle w:val="a3"/>
        <w:spacing w:after="160" w:line="256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По второму предложению - «за» - 4, «против» 1.</w:t>
      </w:r>
    </w:p>
    <w:p w:rsidR="00850908" w:rsidRDefault="004C6210" w:rsidP="004C6210">
      <w:pPr>
        <w:pStyle w:val="a3"/>
        <w:spacing w:after="160" w:line="256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Таким образом, принято второе предложение.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</w:p>
    <w:p w:rsidR="00850908" w:rsidRDefault="00850908" w:rsidP="00850908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850908" w:rsidRDefault="00850908" w:rsidP="00850908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Председатель совета:                                   (Н.В.Никитенко)</w:t>
      </w:r>
    </w:p>
    <w:p w:rsidR="00850908" w:rsidRDefault="00850908" w:rsidP="00850908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 секретаря совета:                                     (Е.В.Поккас)</w:t>
      </w:r>
    </w:p>
    <w:p w:rsidR="00850908" w:rsidRDefault="00850908" w:rsidP="008509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</w:p>
    <w:p w:rsidR="00850908" w:rsidRDefault="00850908" w:rsidP="00850908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850908" w:rsidRDefault="00850908" w:rsidP="00850908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:rsidR="00850908" w:rsidRDefault="00850908" w:rsidP="00850908">
      <w:pPr>
        <w:rPr>
          <w:rFonts w:ascii="Times New Roman" w:hAnsi="Times New Roman" w:cs="Times New Roman"/>
          <w:sz w:val="28"/>
          <w:szCs w:val="28"/>
        </w:rPr>
      </w:pPr>
    </w:p>
    <w:p w:rsidR="00957D58" w:rsidRDefault="00957D58"/>
    <w:sectPr w:rsidR="00957D5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21F" w:rsidRDefault="008D421F" w:rsidP="004C6210">
      <w:pPr>
        <w:spacing w:after="0" w:line="240" w:lineRule="auto"/>
      </w:pPr>
      <w:r>
        <w:separator/>
      </w:r>
    </w:p>
  </w:endnote>
  <w:endnote w:type="continuationSeparator" w:id="0">
    <w:p w:rsidR="008D421F" w:rsidRDefault="008D421F" w:rsidP="004C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446939"/>
      <w:docPartObj>
        <w:docPartGallery w:val="Page Numbers (Bottom of Page)"/>
        <w:docPartUnique/>
      </w:docPartObj>
    </w:sdtPr>
    <w:sdtEndPr/>
    <w:sdtContent>
      <w:p w:rsidR="004C6210" w:rsidRDefault="004C621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2A5">
          <w:rPr>
            <w:noProof/>
          </w:rPr>
          <w:t>2</w:t>
        </w:r>
        <w:r>
          <w:fldChar w:fldCharType="end"/>
        </w:r>
      </w:p>
    </w:sdtContent>
  </w:sdt>
  <w:p w:rsidR="004C6210" w:rsidRDefault="004C62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21F" w:rsidRDefault="008D421F" w:rsidP="004C6210">
      <w:pPr>
        <w:spacing w:after="0" w:line="240" w:lineRule="auto"/>
      </w:pPr>
      <w:r>
        <w:separator/>
      </w:r>
    </w:p>
  </w:footnote>
  <w:footnote w:type="continuationSeparator" w:id="0">
    <w:p w:rsidR="008D421F" w:rsidRDefault="008D421F" w:rsidP="004C6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84477"/>
    <w:multiLevelType w:val="hybridMultilevel"/>
    <w:tmpl w:val="900ED45E"/>
    <w:lvl w:ilvl="0" w:tplc="6FAEDA2E">
      <w:start w:val="1"/>
      <w:numFmt w:val="decimal"/>
      <w:lvlText w:val="%1."/>
      <w:lvlJc w:val="left"/>
      <w:pPr>
        <w:ind w:left="720" w:hanging="360"/>
      </w:pPr>
      <w:rPr>
        <w:rFonts w:eastAsia="DejaVu Sans" w:cs="DejaVu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909"/>
    <w:multiLevelType w:val="hybridMultilevel"/>
    <w:tmpl w:val="D472AC44"/>
    <w:lvl w:ilvl="0" w:tplc="7AB620E8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5A791E04"/>
    <w:multiLevelType w:val="hybridMultilevel"/>
    <w:tmpl w:val="F6BE8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C0B1C"/>
    <w:multiLevelType w:val="hybridMultilevel"/>
    <w:tmpl w:val="2E9C8BD6"/>
    <w:lvl w:ilvl="0" w:tplc="3CDE6F5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7CE4100F"/>
    <w:multiLevelType w:val="hybridMultilevel"/>
    <w:tmpl w:val="719E3F3E"/>
    <w:lvl w:ilvl="0" w:tplc="7AB620E8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08"/>
    <w:rsid w:val="001704A5"/>
    <w:rsid w:val="00174918"/>
    <w:rsid w:val="001A67AE"/>
    <w:rsid w:val="001C5960"/>
    <w:rsid w:val="00362E79"/>
    <w:rsid w:val="004C6210"/>
    <w:rsid w:val="00566B31"/>
    <w:rsid w:val="00642F99"/>
    <w:rsid w:val="006F5C75"/>
    <w:rsid w:val="007162A5"/>
    <w:rsid w:val="007A6050"/>
    <w:rsid w:val="00850908"/>
    <w:rsid w:val="008D421F"/>
    <w:rsid w:val="00957D58"/>
    <w:rsid w:val="00A90DE0"/>
    <w:rsid w:val="00F7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849F3-9920-406C-8752-F8387F8B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9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6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6210"/>
  </w:style>
  <w:style w:type="paragraph" w:styleId="a6">
    <w:name w:val="footer"/>
    <w:basedOn w:val="a"/>
    <w:link w:val="a7"/>
    <w:uiPriority w:val="99"/>
    <w:unhideWhenUsed/>
    <w:rsid w:val="004C6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6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2016-10-10T14:29:00Z</dcterms:created>
  <dcterms:modified xsi:type="dcterms:W3CDTF">2016-10-11T11:44:00Z</dcterms:modified>
</cp:coreProperties>
</file>